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Inpro sprzedaje lokale handlowe i biurowe w centrum Gdańska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SA w ramach inwestycji Chmielna Park oferuje lokale w prestiżowej lokalizacji na Wyspie Spichrzów. W ramach osiedla mieszkaniowego przy ul. Chmielnej i Toruńskiej w sprzedaży znajduje się 9 lokali usługowo-handlowych i 13 biur.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Sąsiedztwo zabytkowej gdańskiej starówki nadaje inwestycji Chmielna Park status prestiżowej lokalizacji, nie tylko dla mieszkań, ale również dla powierzchni biurowych i handlowo-usługowych. To idealna propozycja dla firm poszukujących niebanalnego miejsca ze względu na otaczającą budynki przestrzeń. Wszystko zostało tu zaprojektowane w sposób precyzyjny i przemyślany - mając na uwadze walory estetyczne oraz komfort i wygodę użytkowników. </w:t>
      </w:r>
      <w:r>
        <w:rPr>
          <w:rFonts w:ascii="calibri" w:hAnsi="calibri" w:eastAsia="calibri" w:cs="calibri"/>
          <w:sz w:val="24"/>
          <w:szCs w:val="24"/>
          <w:b/>
        </w:rPr>
        <w:t xml:space="preserve">Reprezentacyjny plac</w:t>
      </w:r>
      <w:r>
        <w:rPr>
          <w:rFonts w:ascii="calibri" w:hAnsi="calibri" w:eastAsia="calibri" w:cs="calibri"/>
          <w:sz w:val="24"/>
          <w:szCs w:val="24"/>
        </w:rPr>
        <w:t xml:space="preserve"> przed wieżą, który ma stanowić centralne miejsce całego kompleksu, zaprojektował </w:t>
      </w:r>
      <w:r>
        <w:rPr>
          <w:rFonts w:ascii="calibri" w:hAnsi="calibri" w:eastAsia="calibri" w:cs="calibri"/>
          <w:sz w:val="24"/>
          <w:szCs w:val="24"/>
          <w:b/>
        </w:rPr>
        <w:t xml:space="preserve">architekt Maciej Sieniawski</w:t>
      </w:r>
      <w:r>
        <w:rPr>
          <w:rFonts w:ascii="calibri" w:hAnsi="calibri" w:eastAsia="calibri" w:cs="calibri"/>
          <w:sz w:val="24"/>
          <w:szCs w:val="24"/>
        </w:rPr>
        <w:t xml:space="preserve">. W wieży budynku B od 3 do 6 piętra znajdują się przeznaczone na sprzedaż lokale biurowe. Na parterach wszystkich budynków od ul. Chmielnej znajdują się lokale handlowo-usługowe, które posiadają wejścia zewnętrzne, bezpośrednio z poziomu chodnika. Aktualnie w sprzedaży zostało 9 lokali handlowo-usługowych oraz 13 lokali przeznaczonych na biura. </w:t>
      </w:r>
      <w:r>
        <w:rPr>
          <w:rFonts w:ascii="calibri" w:hAnsi="calibri" w:eastAsia="calibri" w:cs="calibri"/>
          <w:sz w:val="24"/>
          <w:szCs w:val="24"/>
          <w:b/>
        </w:rPr>
        <w:t xml:space="preserve">Powierzchnia pomieszczeń wynosi od 42,71 mkw. do 115,15 mkw. Cena zaczyna się od 6.000 zł netto za mkw.</w:t>
      </w:r>
      <w:r>
        <w:rPr>
          <w:rFonts w:ascii="calibri" w:hAnsi="calibri" w:eastAsia="calibri" w:cs="calibri"/>
          <w:sz w:val="24"/>
          <w:szCs w:val="24"/>
        </w:rPr>
        <w:t xml:space="preserve"> Lokale w budynkach A i B są gotowe do odbioru. Planowany termin zakończenia budynku C to 30.10.2016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Chmielna Park to kompleks trzech budynków z górującą nad osiedlem 9-kondygnacyjną wieżą. Osiedle o nowoczesnej architekturze rozciąga się </w:t>
      </w:r>
      <w:r>
        <w:rPr>
          <w:rFonts w:ascii="calibri" w:hAnsi="calibri" w:eastAsia="calibri" w:cs="calibri"/>
          <w:sz w:val="24"/>
          <w:szCs w:val="24"/>
          <w:b/>
        </w:rPr>
        <w:t xml:space="preserve">wzdłuż zielonego brzegu rzeki Motławy</w:t>
      </w:r>
      <w:r>
        <w:rPr>
          <w:rFonts w:ascii="calibri" w:hAnsi="calibri" w:eastAsia="calibri" w:cs="calibri"/>
          <w:sz w:val="24"/>
          <w:szCs w:val="24"/>
        </w:rPr>
        <w:t xml:space="preserve">. Inwestycja położona przy ul. Chmielnej i Toruńskiej w sąsiedztwie zabytkowej starówki, docelowo będzie posiadła przestrzeń otwartą, z terenami zielonymi i małą architekturą. Dzięki</w:t>
      </w:r>
      <w:r>
        <w:rPr>
          <w:rFonts w:ascii="calibri" w:hAnsi="calibri" w:eastAsia="calibri" w:cs="calibri"/>
          <w:sz w:val="24"/>
          <w:szCs w:val="24"/>
          <w:b/>
        </w:rPr>
        <w:t xml:space="preserve"> dużym oknom i zabudowie tarasowej</w:t>
      </w:r>
      <w:r>
        <w:rPr>
          <w:rFonts w:ascii="calibri" w:hAnsi="calibri" w:eastAsia="calibri" w:cs="calibri"/>
          <w:sz w:val="24"/>
          <w:szCs w:val="24"/>
        </w:rPr>
        <w:t xml:space="preserve">, w projekcie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maksymalnie wykorzystano walory widokowe w kierunku Głównego Miasta. Lokale znajdujące się na parterze mają </w:t>
      </w:r>
      <w:r>
        <w:rPr>
          <w:rFonts w:ascii="calibri" w:hAnsi="calibri" w:eastAsia="calibri" w:cs="calibri"/>
          <w:sz w:val="24"/>
          <w:szCs w:val="24"/>
          <w:b/>
        </w:rPr>
        <w:t xml:space="preserve">przynależne ogródki</w:t>
      </w:r>
      <w:r>
        <w:rPr>
          <w:rFonts w:ascii="calibri" w:hAnsi="calibri" w:eastAsia="calibri" w:cs="calibri"/>
          <w:sz w:val="24"/>
          <w:szCs w:val="24"/>
        </w:rPr>
        <w:t xml:space="preserve">. W ramach inwestycji powstają również hale garażowe oraz piwnice i pomieszczenia do przechowywania wózków i rowerów. Dla osób nabywających nieruchomości w celach inwestycyjnych deweloper proponuje zakup apartamentu z opcją </w:t>
      </w:r>
      <w:r>
        <w:rPr>
          <w:rFonts w:ascii="calibri" w:hAnsi="calibri" w:eastAsia="calibri" w:cs="calibri"/>
          <w:sz w:val="24"/>
          <w:szCs w:val="24"/>
          <w:b/>
        </w:rPr>
        <w:t xml:space="preserve">KUP I ZARABIAJ z możliwością wykończenia pod klucz.</w:t>
      </w:r>
      <w:r>
        <w:rPr>
          <w:rFonts w:ascii="calibri" w:hAnsi="calibri" w:eastAsia="calibri" w:cs="calibri"/>
          <w:sz w:val="24"/>
          <w:szCs w:val="24"/>
          <w:b/>
        </w:rPr>
        <w:t xml:space="preserve"> Cały projekt obejmuje łącznie 306 lokali. </w:t>
      </w:r>
      <w:r>
        <w:rPr>
          <w:rFonts w:ascii="calibri" w:hAnsi="calibri" w:eastAsia="calibri" w:cs="calibri"/>
          <w:sz w:val="24"/>
          <w:szCs w:val="24"/>
        </w:rPr>
        <w:t xml:space="preserve">W aktualnej ofercie pozostało 41 mieszkań, których powierzchnia wynosi od 46 mkw. do 137,70 mkw. Ich cena zaczyna się od 6.100 zł netto za mkw.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2026-05-21T20:58:22+02:00</dcterms:created>
  <dcterms:modified xsi:type="dcterms:W3CDTF">2026-05-21T20:58:22+02:00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