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odnotowała blisko sześciokrotny wzrost zysku netto</w:t>
      </w:r>
    </w:p>
    <w:p>
      <w:pPr>
        <w:spacing w:before="0" w:after="500" w:line="264" w:lineRule="auto"/>
      </w:pPr>
      <w:r>
        <w:rPr>
          <w:rFonts w:ascii="calibri" w:hAnsi="calibri" w:eastAsia="calibri" w:cs="calibri"/>
          <w:sz w:val="36"/>
          <w:szCs w:val="36"/>
          <w:b/>
        </w:rPr>
        <w:t xml:space="preserve">Grupa Kapitałowa Inpro za pierwsze dziewięć miesięcy 2015 roku odnotowała wzrost przychodów ze sprzedaży o 43 proc. do poziomu 134,0 mln zł. Marża brutto wzrosła o 83 proc. do wartości 37,2 mln zł. Natomiast zysk netto wyniósł 16,4 mln zł wobec 2,8 mln zł w analogicznym okresie 2014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pierwsze trzy kwartały 2015 roku Grupa Inpro osiągnęła przychody na poziomie blisko 134 mln zł, czyli o 43% więcej w porównaniu do analogicznego okresu roku poprzedniego. Poprawa uzyskanych wyników wynika przede wszystkim ze wzrostu ilości wydań oraz korzystnej ceny jednostkowej metra kwadratowego sprzedawanych lokali. Zysk brutto ze sprzedaży wzrósł do wartości 37,2 mln zł, czyli o 83%. Zysk netto osiągnięty w pierwszych trzech kwartałach 2015 r. ukształtował się na poziomie 16,4 mln zł, czyli blisko sześciokrotnie więcej niż rok wcześniej, kiedy Grupa Inpro wypracowała 2,8 mln zł.</w:t>
      </w:r>
    </w:p>
    <w:p>
      <w:pPr>
        <w:spacing w:before="0" w:after="300"/>
      </w:pPr>
      <w:r>
        <w:rPr>
          <w:rFonts w:ascii="calibri" w:hAnsi="calibri" w:eastAsia="calibri" w:cs="calibri"/>
          <w:sz w:val="24"/>
          <w:szCs w:val="24"/>
          <w:i/>
          <w:iCs/>
        </w:rPr>
        <w:t xml:space="preserve">„Okres wakacyjny był okresem bardzo pracowitym dla rynku deweloperskiego, pobite zostały kolejne rekordy pod względem ilości sprzedanych mieszkań. Jednocześnie wzrosła liczba mieszkań wprowadzonych do sprzedaży. Utrzymujący się popyt na mieszkania niejako zmusza nas do rozpoczęcia realizacji kolejnych projektów. Mamy nadzieję, że ta tendencja utrzyma się przez dłuższy okres”</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Narastająco za dziewięć miesięcy 2015 roku Grupa sprzedała łącznie 405 lokali (w rozumieniu umów przedwstępnych netto), co stanowi 25% wzrost w porównaniu do analogicznego okresu 2014 roku. W trzecim kwartale 2015 Grupa Inpro podpisała łącznie 168 umów przedwstępnych netto. Oznacza to wzrost wolumenu sprzedaży w stosunku do analogicznego okresu roku poprzedniego aż o 57 %.</w:t>
      </w:r>
    </w:p>
    <w:p>
      <w:pPr>
        <w:spacing w:before="0" w:after="300"/>
      </w:pPr>
      <w:r>
        <w:rPr>
          <w:rFonts w:ascii="calibri" w:hAnsi="calibri" w:eastAsia="calibri" w:cs="calibri"/>
          <w:sz w:val="24"/>
          <w:szCs w:val="24"/>
        </w:rPr>
        <w:t xml:space="preserve">Największym zainteresowaniem cieszyły się inwestycje: Chmielna Park, ze względu na atrakcyjną lokalizację w centrum Gdańska (duży udział zakupów w celach inwestycyjnych), oraz Wróbla Staw Mieszkania, z uwagi na dostępność w programie MDM.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III kwartale br. Grupa Kapitałowa Inpro przekazała łącznie 122 lokale mieszkalne, gdzie w III kwartale 2014 roku Grupa wydała 18 mieszkań. Narastająco za dziewięć miesięcy bieżącego roku Grupa wydała łącznie 320 lokali w porównaniu ze 176 lokalami w roku ubiegłym. Tak duży wzrost ilości przekazań kluczy do lokali w bieżącym roku, koresponduje z ilością zakończonych przedsięwzięć deweloperskich: Wróbla Staw Domy (14 budynków), City Park budynki E i F (179 lokali), Wróbla Staw Mieszkania etap II (109 lokali), Osiedle Leszczynowe budynek 12 (48 lokali). W ostatnim kwartale 2015 roku, który już się rozpoczął, Inpro zrealizowało inwestycje: Chmielna Park budynek B (117 lokali), Osiedle Leszczynowe budynek nr 14 (24 lokale), Osiedle Wróbla Staw Mieszkania etap I (118 lokali). Do końca roku Inpro planuje jeszcze zakończyć realizację Osiedla Wróbla Staw Domy etap D (6 domów jednorodzinnych).</w:t>
      </w:r>
    </w:p>
    <w:p>
      <w:pPr>
        <w:spacing w:before="0" w:after="300"/>
      </w:pPr>
      <w:r>
        <w:rPr>
          <w:rFonts w:ascii="calibri" w:hAnsi="calibri" w:eastAsia="calibri" w:cs="calibri"/>
          <w:sz w:val="24"/>
          <w:szCs w:val="24"/>
        </w:rPr>
        <w:t xml:space="preserve">W 2015 roku Grupa Inpro wprowadziła do sprzedaży w sumie 519 mieszkań i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2025-10-22T08:02:22+02:00</dcterms:created>
  <dcterms:modified xsi:type="dcterms:W3CDTF">2025-10-22T08:02:22+02:00</dcterms:modified>
</cp:coreProperties>
</file>

<file path=docProps/custom.xml><?xml version="1.0" encoding="utf-8"?>
<Properties xmlns="http://schemas.openxmlformats.org/officeDocument/2006/custom-properties" xmlns:vt="http://schemas.openxmlformats.org/officeDocument/2006/docPropsVTypes"/>
</file>