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Chmielna Park etap C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SA otrzymał pozwolenie na użytkowanie budynku C należącego do osiedla Chmielna Park na Wyspie Spichrzów. W ramach tej fazy inwestycji do klientów trafi 130 lokali. Całe osiedle składa się z trzech budynków obejmujących 306 lokali spośród których sprzedano już blisko 90%.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nowoczesne osiedle zlokalizowane w sąsiedztwie zabytkowej starówki na Wyspie Spichrzów. Ta prestiżowa inwestycja złożona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budynków</w:t>
      </w:r>
      <w:r>
        <w:rPr>
          <w:rFonts w:ascii="calibri" w:hAnsi="calibri" w:eastAsia="calibri" w:cs="calibri"/>
          <w:sz w:val="24"/>
          <w:szCs w:val="24"/>
        </w:rPr>
        <w:t xml:space="preserve">, z górującą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9-kondygnacyjną wieżą</w:t>
      </w:r>
      <w:r>
        <w:rPr>
          <w:rFonts w:ascii="calibri" w:hAnsi="calibri" w:eastAsia="calibri" w:cs="calibri"/>
          <w:sz w:val="24"/>
          <w:szCs w:val="24"/>
        </w:rPr>
        <w:t xml:space="preserve"> oraz reprezentacyjnym </w:t>
      </w:r>
      <w:r>
        <w:rPr>
          <w:rFonts w:ascii="calibri" w:hAnsi="calibri" w:eastAsia="calibri" w:cs="calibri"/>
          <w:sz w:val="24"/>
          <w:szCs w:val="24"/>
          <w:b/>
        </w:rPr>
        <w:t xml:space="preserve">placem. </w:t>
      </w:r>
      <w:r>
        <w:rPr>
          <w:rFonts w:ascii="calibri" w:hAnsi="calibri" w:eastAsia="calibri" w:cs="calibri"/>
          <w:sz w:val="24"/>
          <w:szCs w:val="24"/>
        </w:rPr>
        <w:t xml:space="preserve">Projekt inwestycji powstał w pracowni DOMUS Studio Projektowe S.C. Sieniawski &amp; Sieniawski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Dodatkowym atutem jest położenie osiedla nad rzeką wzdłuż zielonego brzegu Motławy.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etapu C powstało w sumie 130 lokali. Jest to trzeci i zarazem ostatni etap osiedla Chmielna Park. Deweloper rozpoczyna przekazywanie wszystkich sprzedanych lokali. W całej inwestycji inwestor sprzedał już blisko 90% lokali. Do dyspozycji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 20 mieszkań, 3 lokale usługowe oraz 11 biur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na Wyspie Spichrzów jest idealną odpowiedzią na potrzeby klientów, którzy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jakość życia</w:t>
      </w:r>
      <w:r>
        <w:rPr>
          <w:rFonts w:ascii="calibri" w:hAnsi="calibri" w:eastAsia="calibri" w:cs="calibri"/>
          <w:sz w:val="24"/>
          <w:szCs w:val="24"/>
        </w:rPr>
        <w:t xml:space="preserve">. Osiedle zostało zrealizowane przy użyciu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materiałów</w:t>
      </w:r>
      <w:r>
        <w:rPr>
          <w:rFonts w:ascii="calibri" w:hAnsi="calibri" w:eastAsia="calibri" w:cs="calibri"/>
          <w:sz w:val="24"/>
          <w:szCs w:val="24"/>
        </w:rPr>
        <w:t xml:space="preserve"> i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standardem</w:t>
      </w:r>
      <w:r>
        <w:rPr>
          <w:rFonts w:ascii="calibri" w:hAnsi="calibri" w:eastAsia="calibri" w:cs="calibri"/>
          <w:sz w:val="24"/>
          <w:szCs w:val="24"/>
        </w:rPr>
        <w:t xml:space="preserve"> oraz nowoczesną architekturą.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INPRO przygotowało także ofertę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oferuje trzy zróżnicowane pakiety, w zależności od potrzeb i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maksymalnie wykorzystano walory widokowe mieszkań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dużym oknom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zabudowie tarasowej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także hale garażowe, piwnice,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ofertę dla osób, którym zależy na ulokowaniu swoich oszczędności w nieruchomościach. Opcja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6696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2026-02-06T21:39:28+01:00</dcterms:created>
  <dcterms:modified xsi:type="dcterms:W3CDTF">2026-02-06T21:39:28+01:00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