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otrzymało pozwolenie na użytkowanie Harmonii Oliwskiej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otrzymało pozwolenie na użytkowanie I etapu prestiżowego osiedla Harmonia Oliwska w Gdańsku. Klienci mogą odbierać klucze do 151 mieszkań. W aktualnej ofercie w sprzedaży pozostało 31 mieszkań w ramach I etapu inwestycji oraz 24 w ramach II etapu, którego zakończenie zaplanowane jest na koniec września 2018 r. Rozpoczęcie sprzedaży kolejnego, III etapu Harmonii Oliwskiej planowane jest w styczniu 2018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Harmonia Oliwska zlokalizowane jest przy </w:t>
      </w:r>
      <w:r>
        <w:rPr>
          <w:rFonts w:ascii="calibri" w:hAnsi="calibri" w:eastAsia="calibri" w:cs="calibri"/>
          <w:sz w:val="24"/>
          <w:szCs w:val="24"/>
          <w:b/>
        </w:rPr>
        <w:t xml:space="preserve">ul. Opackiej i Al. Grunwaldzkiej w Gdańsku</w:t>
      </w:r>
      <w:r>
        <w:rPr>
          <w:rFonts w:ascii="calibri" w:hAnsi="calibri" w:eastAsia="calibri" w:cs="calibri"/>
          <w:sz w:val="24"/>
          <w:szCs w:val="24"/>
        </w:rPr>
        <w:t xml:space="preserve">, w bliskim sąsiedztwie zabytkowego </w:t>
      </w:r>
      <w:r>
        <w:rPr>
          <w:rFonts w:ascii="calibri" w:hAnsi="calibri" w:eastAsia="calibri" w:cs="calibri"/>
          <w:sz w:val="24"/>
          <w:szCs w:val="24"/>
          <w:b/>
        </w:rPr>
        <w:t xml:space="preserve">Parku Oliwskiego</w:t>
      </w:r>
      <w:r>
        <w:rPr>
          <w:rFonts w:ascii="calibri" w:hAnsi="calibri" w:eastAsia="calibri" w:cs="calibri"/>
          <w:sz w:val="24"/>
          <w:szCs w:val="24"/>
        </w:rPr>
        <w:t xml:space="preserve">. W okolicy inwestycji znajdują się także popularne centra handlowe, zagłębie biznesowe Olivia Business Centre oraz Uniwersytet Gdański.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atutem osiedla są zlokalizowane w bliskiej odległości </w:t>
      </w:r>
      <w:r>
        <w:rPr>
          <w:rFonts w:ascii="calibri" w:hAnsi="calibri" w:eastAsia="calibri" w:cs="calibri"/>
          <w:sz w:val="24"/>
          <w:szCs w:val="24"/>
          <w:b/>
        </w:rPr>
        <w:t xml:space="preserve">przystanki autobusowe i tramwajowe oraz stacje SKM Gdańsk Żabianka i Gdańsk Oliwa</w:t>
      </w:r>
      <w:r>
        <w:rPr>
          <w:rFonts w:ascii="calibri" w:hAnsi="calibri" w:eastAsia="calibri" w:cs="calibri"/>
          <w:sz w:val="24"/>
          <w:szCs w:val="24"/>
        </w:rPr>
        <w:t xml:space="preserve">, dzięki którym przyszli mieszkańcy bardzo szybko i komfortowo dotrą do dowolnego punktu w mieście.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ma nowoczesny charakter, składa się z </w:t>
      </w:r>
      <w:r>
        <w:rPr>
          <w:rFonts w:ascii="calibri" w:hAnsi="calibri" w:eastAsia="calibri" w:cs="calibri"/>
          <w:sz w:val="24"/>
          <w:szCs w:val="24"/>
          <w:b/>
        </w:rPr>
        <w:t xml:space="preserve">sześcio- i ośmiokondygnacyjnych budynków w zabudowie kwartałowej</w:t>
      </w:r>
      <w:r>
        <w:rPr>
          <w:rFonts w:ascii="calibri" w:hAnsi="calibri" w:eastAsia="calibri" w:cs="calibri"/>
          <w:sz w:val="24"/>
          <w:szCs w:val="24"/>
        </w:rPr>
        <w:t xml:space="preserve">. Mieszkania posiadają słoneczne </w:t>
      </w:r>
      <w:r>
        <w:rPr>
          <w:rFonts w:ascii="calibri" w:hAnsi="calibri" w:eastAsia="calibri" w:cs="calibri"/>
          <w:sz w:val="24"/>
          <w:szCs w:val="24"/>
          <w:b/>
        </w:rPr>
        <w:t xml:space="preserve">balkony i tarasy</w:t>
      </w:r>
      <w:r>
        <w:rPr>
          <w:rFonts w:ascii="calibri" w:hAnsi="calibri" w:eastAsia="calibri" w:cs="calibri"/>
          <w:sz w:val="24"/>
          <w:szCs w:val="24"/>
        </w:rPr>
        <w:t xml:space="preserve">, a mieszkańcy parteru będą mogli cieszyć się własnymi </w:t>
      </w:r>
      <w:r>
        <w:rPr>
          <w:rFonts w:ascii="calibri" w:hAnsi="calibri" w:eastAsia="calibri" w:cs="calibri"/>
          <w:sz w:val="24"/>
          <w:szCs w:val="24"/>
          <w:b/>
        </w:rPr>
        <w:t xml:space="preserve">ogródkami</w:t>
      </w:r>
      <w:r>
        <w:rPr>
          <w:rFonts w:ascii="calibri" w:hAnsi="calibri" w:eastAsia="calibri" w:cs="calibri"/>
          <w:sz w:val="24"/>
          <w:szCs w:val="24"/>
        </w:rPr>
        <w:t xml:space="preserve">. Osiedle jest </w:t>
      </w:r>
      <w:r>
        <w:rPr>
          <w:rFonts w:ascii="calibri" w:hAnsi="calibri" w:eastAsia="calibri" w:cs="calibri"/>
          <w:sz w:val="24"/>
          <w:szCs w:val="24"/>
          <w:b/>
        </w:rPr>
        <w:t xml:space="preserve">częściowo ogrodzone i dozorowane z pomieszczenia ochrony</w:t>
      </w:r>
      <w:r>
        <w:rPr>
          <w:rFonts w:ascii="calibri" w:hAnsi="calibri" w:eastAsia="calibri" w:cs="calibri"/>
          <w:sz w:val="24"/>
          <w:szCs w:val="24"/>
        </w:rPr>
        <w:t xml:space="preserve">. W podziemiach budynku powstała także </w:t>
      </w:r>
      <w:r>
        <w:rPr>
          <w:rFonts w:ascii="calibri" w:hAnsi="calibri" w:eastAsia="calibri" w:cs="calibri"/>
          <w:sz w:val="24"/>
          <w:szCs w:val="24"/>
          <w:b/>
        </w:rPr>
        <w:t xml:space="preserve">hala garażowa oraz piwnice</w:t>
      </w:r>
      <w:r>
        <w:rPr>
          <w:rFonts w:ascii="calibri" w:hAnsi="calibri" w:eastAsia="calibri" w:cs="calibri"/>
          <w:sz w:val="24"/>
          <w:szCs w:val="24"/>
        </w:rPr>
        <w:t xml:space="preserve">. We wszystkich etapach zaprojektowano własne </w:t>
      </w:r>
      <w:r>
        <w:rPr>
          <w:rFonts w:ascii="calibri" w:hAnsi="calibri" w:eastAsia="calibri" w:cs="calibri"/>
          <w:sz w:val="24"/>
          <w:szCs w:val="24"/>
          <w:b/>
        </w:rPr>
        <w:t xml:space="preserve">place zabaw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Cechą wyróżniającą osiedle jest także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nowoczesna elewacja</w:t>
      </w:r>
      <w:r>
        <w:rPr>
          <w:rFonts w:ascii="calibri" w:hAnsi="calibri" w:eastAsia="calibri" w:cs="calibri"/>
          <w:sz w:val="24"/>
          <w:szCs w:val="24"/>
        </w:rPr>
        <w:t xml:space="preserve"> częściowo wykończona szlachetnymi materiałami oraz części wspólne (korytarze i klatki schodowe) o podwyższonym standardzie. Pomiędzy budynkami powstanie </w:t>
      </w:r>
      <w:r>
        <w:rPr>
          <w:rFonts w:ascii="calibri" w:hAnsi="calibri" w:eastAsia="calibri" w:cs="calibri"/>
          <w:sz w:val="24"/>
          <w:szCs w:val="24"/>
          <w:b/>
        </w:rPr>
        <w:t xml:space="preserve">dużo zieleni parkowej</w:t>
      </w:r>
      <w:r>
        <w:rPr>
          <w:rFonts w:ascii="calibri" w:hAnsi="calibri" w:eastAsia="calibri" w:cs="calibri"/>
          <w:sz w:val="24"/>
          <w:szCs w:val="24"/>
        </w:rPr>
        <w:t xml:space="preserve">, która uzupełni się z sąsiadującym Parkiem Oliwskim.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 etapu inwestycji o nazwie „Cytra” wybudowano </w:t>
      </w:r>
      <w:r>
        <w:rPr>
          <w:rFonts w:ascii="calibri" w:hAnsi="calibri" w:eastAsia="calibri" w:cs="calibri"/>
          <w:sz w:val="24"/>
          <w:szCs w:val="24"/>
          <w:b/>
        </w:rPr>
        <w:t xml:space="preserve">151 mieszkań</w:t>
      </w:r>
      <w:r>
        <w:rPr>
          <w:rFonts w:ascii="calibri" w:hAnsi="calibri" w:eastAsia="calibri" w:cs="calibri"/>
          <w:sz w:val="24"/>
          <w:szCs w:val="24"/>
        </w:rPr>
        <w:t xml:space="preserve">, a w II etapie „Rotta” powstaną w sumie </w:t>
      </w:r>
      <w:r>
        <w:rPr>
          <w:rFonts w:ascii="calibri" w:hAnsi="calibri" w:eastAsia="calibri" w:cs="calibri"/>
          <w:sz w:val="24"/>
          <w:szCs w:val="24"/>
          <w:b/>
        </w:rPr>
        <w:t xml:space="preserve">84 mieszkania</w:t>
      </w:r>
      <w:r>
        <w:rPr>
          <w:rFonts w:ascii="calibri" w:hAnsi="calibri" w:eastAsia="calibri" w:cs="calibri"/>
          <w:sz w:val="24"/>
          <w:szCs w:val="24"/>
        </w:rPr>
        <w:t xml:space="preserve">. Drugi etap Harmonii Oliwskiej zostanie zakończony pod koniec września 2018 r. INPRO planuje rozpoczęcie sprzedaży </w:t>
      </w:r>
      <w:r>
        <w:rPr>
          <w:rFonts w:ascii="calibri" w:hAnsi="calibri" w:eastAsia="calibri" w:cs="calibri"/>
          <w:sz w:val="24"/>
          <w:szCs w:val="24"/>
          <w:b/>
        </w:rPr>
        <w:t xml:space="preserve">III etapu „Tercja” w styczniu 2018 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Cały projekt przewiduje wybudowanie łącznie 550 mieszkań i będzie realizowany w czterech etapach do 2020 lub 2021 roku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2026-06-11T01:56:32+02:00</dcterms:created>
  <dcterms:modified xsi:type="dcterms:W3CDTF">2026-06-11T01:56:32+02:00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