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sprzedało ponad 75 proc. Kwartału Uniwersyteckiego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INPRO sprzedała już ponad 75 proc. mieszkań w inwestycji Kwartał Uniwersytecki w Gdańsku Przymorzu. Lokalizacja osiedla to idealne miejsce dla osób lubiących miejski styl życia, ale jednocześnie poszukujących mieszkania w cichej okolicy. W korytarzach budynków zawisną obrazy przedstawiające 8 krojów topowych czcionek z kolekcji Muzeum MOMA. Deweloper zadbał również o dużo zieleni na terenie osiedla. Właściciele mieszkań odbiorą klucze jeszcze w tym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Kwartał Uniwersytecki powstaje w jednej z najlepiej skomunikowanych dzielnic miasta, jaką jest </w:t>
      </w:r>
      <w:r>
        <w:rPr>
          <w:rFonts w:ascii="calibri" w:hAnsi="calibri" w:eastAsia="calibri" w:cs="calibri"/>
          <w:sz w:val="24"/>
          <w:szCs w:val="24"/>
          <w:b/>
        </w:rPr>
        <w:t xml:space="preserve">Gdańsk Przymorze oraz w okolicy o niskiej zabudowie, zielonych terenach i domach jednorodzinnych.</w:t>
      </w:r>
      <w:r>
        <w:rPr>
          <w:rFonts w:ascii="calibri" w:hAnsi="calibri" w:eastAsia="calibri" w:cs="calibri"/>
          <w:sz w:val="24"/>
          <w:szCs w:val="24"/>
        </w:rPr>
        <w:t xml:space="preserve"> Nowoczesny kompleks mieszkaniowy o wysokich walorach estetycznych to idealne miejsce dla osób ceniących jednocześnie życie w mieście oraz spokój i ciszę. Inwestycja przy ul. Szczecińskiej powstaje w obszarze, który w przyszłości stanie się znaczącym miejscem dla dzielnicy, w granicach Centralnego Pasma Usługowego. Osiedle zlokalizowane jest </w:t>
      </w:r>
      <w:r>
        <w:rPr>
          <w:rFonts w:ascii="calibri" w:hAnsi="calibri" w:eastAsia="calibri" w:cs="calibri"/>
          <w:sz w:val="24"/>
          <w:szCs w:val="24"/>
          <w:b/>
        </w:rPr>
        <w:t xml:space="preserve">900 m od Uniwersytetu Gdańskiego, 1,2 km od biznesowego centrum miasta Olivia Business Centre, 5,5 km od morza i 5 minut od stacji SKM.</w:t>
      </w:r>
      <w:r>
        <w:rPr>
          <w:rFonts w:ascii="calibri" w:hAnsi="calibri" w:eastAsia="calibri" w:cs="calibri"/>
          <w:sz w:val="24"/>
          <w:szCs w:val="24"/>
        </w:rPr>
        <w:t xml:space="preserve"> W niedalekiej odległości znajdują się również popularne obiekty Handlowe, m.in. Kompleks Alchemia i Alfa Centrum.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Całe osiedle składa się ze 174 mieszkań i 1 lokalu usługowego, umieszczonych w dwóch budynkach o zróżnicowanej kondygnacji. Mieszkania wyposażone są w </w:t>
      </w:r>
      <w:r>
        <w:rPr>
          <w:rFonts w:ascii="calibri" w:hAnsi="calibri" w:eastAsia="calibri" w:cs="calibri"/>
          <w:sz w:val="24"/>
          <w:szCs w:val="24"/>
          <w:b/>
        </w:rPr>
        <w:t xml:space="preserve">duże i nasłonecznione balkony i tarasy</w:t>
      </w:r>
      <w:r>
        <w:rPr>
          <w:rFonts w:ascii="calibri" w:hAnsi="calibri" w:eastAsia="calibri" w:cs="calibri"/>
          <w:sz w:val="24"/>
          <w:szCs w:val="24"/>
        </w:rPr>
        <w:t xml:space="preserve">. Większość mieszkań na parterze </w:t>
      </w:r>
      <w:r>
        <w:rPr>
          <w:rFonts w:ascii="calibri" w:hAnsi="calibri" w:eastAsia="calibri" w:cs="calibri"/>
          <w:sz w:val="24"/>
          <w:szCs w:val="24"/>
          <w:b/>
        </w:rPr>
        <w:t xml:space="preserve">posiada przynależne ogródki</w:t>
      </w:r>
      <w:r>
        <w:rPr>
          <w:rFonts w:ascii="calibri" w:hAnsi="calibri" w:eastAsia="calibri" w:cs="calibri"/>
          <w:sz w:val="24"/>
          <w:szCs w:val="24"/>
        </w:rPr>
        <w:t xml:space="preserve">. Pod budynkami znajduje się hala garażowa oraz piwnice. Na terenie osiedla jest również wózkarnia i rowerownia. Spokój i bezpieczeństwo mieszkańcom zapewnią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kamery</w:t>
      </w:r>
      <w:r>
        <w:rPr>
          <w:rFonts w:ascii="calibri" w:hAnsi="calibri" w:eastAsia="calibri" w:cs="calibri"/>
          <w:sz w:val="24"/>
          <w:szCs w:val="24"/>
        </w:rPr>
        <w:t xml:space="preserve"> obsługiwane z pomieszczenia ochrony.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Deweloper zadbał o każdy szczegół inwestycji, również o wygląd części wspólnych. Nowoczesna architektura budynków oraz </w:t>
      </w:r>
      <w:r>
        <w:rPr>
          <w:rFonts w:ascii="calibri" w:hAnsi="calibri" w:eastAsia="calibri" w:cs="calibri"/>
          <w:sz w:val="24"/>
          <w:szCs w:val="24"/>
          <w:b/>
        </w:rPr>
        <w:t xml:space="preserve">zewnętrzne tereny inwestycji bogate w zieleń</w:t>
      </w:r>
      <w:r>
        <w:rPr>
          <w:rFonts w:ascii="calibri" w:hAnsi="calibri" w:eastAsia="calibri" w:cs="calibri"/>
          <w:sz w:val="24"/>
          <w:szCs w:val="24"/>
        </w:rPr>
        <w:t xml:space="preserve"> idealnie wpisują osiedle w otaczającą go przestrzeń. </w:t>
      </w:r>
      <w:r>
        <w:rPr>
          <w:rFonts w:ascii="calibri" w:hAnsi="calibri" w:eastAsia="calibri" w:cs="calibri"/>
          <w:sz w:val="24"/>
          <w:szCs w:val="24"/>
          <w:b/>
        </w:rPr>
        <w:t xml:space="preserve">Na korytarzach budynków pojawią się obrazy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ośmiu krojów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rozpoznawalnych czcionek</w:t>
      </w:r>
      <w:r>
        <w:rPr>
          <w:rFonts w:ascii="calibri" w:hAnsi="calibri" w:eastAsia="calibri" w:cs="calibri"/>
          <w:sz w:val="24"/>
          <w:szCs w:val="24"/>
        </w:rPr>
        <w:t xml:space="preserve"> w historii typografii, od renesansu, przez barok, klasycyzm, wiek XIX, aż po współczesność. </w:t>
      </w:r>
      <w:r>
        <w:rPr>
          <w:rFonts w:ascii="calibri" w:hAnsi="calibri" w:eastAsia="calibri" w:cs="calibri"/>
          <w:sz w:val="24"/>
          <w:szCs w:val="24"/>
          <w:b/>
        </w:rPr>
        <w:t xml:space="preserve">Kroje czcionek znajdują się w kolekcji Muzeum MOMA.</w:t>
      </w:r>
      <w:r>
        <w:rPr>
          <w:rFonts w:ascii="calibri" w:hAnsi="calibri" w:eastAsia="calibri" w:cs="calibri"/>
          <w:sz w:val="24"/>
          <w:szCs w:val="24"/>
        </w:rPr>
        <w:t xml:space="preserve"> Doskonale zaprojektowane fonty podkreślają charakter inwestycji: prostej, funkcjonalnej i ponadczasowej.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decydujący się na zakup mieszkania w ramach Kwartału Uniwersyteckiego, mogą również skorzystać z </w:t>
      </w:r>
      <w:r>
        <w:rPr>
          <w:rFonts w:ascii="calibri" w:hAnsi="calibri" w:eastAsia="calibri" w:cs="calibri"/>
          <w:sz w:val="24"/>
          <w:szCs w:val="24"/>
          <w:b/>
        </w:rPr>
        <w:t xml:space="preserve">oferty wykończenia pod klucz</w:t>
      </w:r>
      <w:r>
        <w:rPr>
          <w:rFonts w:ascii="calibri" w:hAnsi="calibri" w:eastAsia="calibri" w:cs="calibri"/>
          <w:sz w:val="24"/>
          <w:szCs w:val="24"/>
        </w:rPr>
        <w:t xml:space="preserve">, w której deweloper proponuje trzy zróżnicowane pakiety. Dzięki szerokiemu wachlarzowi usług, opcja wykończenia mieszkania dopasowywana jest indywidualnie do potrzeb każdego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aktualnej ofercie znajduje się 41 mieszkań i 1 lokal usługowy. </w:t>
      </w:r>
      <w:r>
        <w:rPr>
          <w:rFonts w:ascii="calibri" w:hAnsi="calibri" w:eastAsia="calibri" w:cs="calibri"/>
          <w:sz w:val="24"/>
          <w:szCs w:val="24"/>
          <w:b/>
        </w:rPr>
        <w:t xml:space="preserve">Cena mieszkań zaczyna się od 6.912 zł brutto za mkw.</w:t>
      </w:r>
      <w:r>
        <w:rPr>
          <w:rFonts w:ascii="calibri" w:hAnsi="calibri" w:eastAsia="calibri" w:cs="calibri"/>
          <w:sz w:val="24"/>
          <w:szCs w:val="24"/>
        </w:rPr>
        <w:t xml:space="preserve">, a ich powierzchnia wynosi od 39,66 mkw. do 119,98 mkw. Zakończenie budowy osiedla zaplanowano </w:t>
      </w:r>
      <w:r>
        <w:rPr>
          <w:rFonts w:ascii="calibri" w:hAnsi="calibri" w:eastAsia="calibri" w:cs="calibri"/>
          <w:sz w:val="24"/>
          <w:szCs w:val="24"/>
          <w:b/>
        </w:rPr>
        <w:t xml:space="preserve">na koniec października 2016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2026-10-24T17:26:24+02:00</dcterms:created>
  <dcterms:modified xsi:type="dcterms:W3CDTF">2026-10-24T17:26:24+02:00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