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topowych czcionek z kolekcji Muzeum MOMA we wnętrzach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wzbogaci wnętrza jednej ze swoich inwestycji, obrazami najbardziej topowych czcionek w historii typografii. W Kwartale Uniwersyteckim na ścianach części wspólnych pojawi się 8 krojów czcionek, poczynając od renesansu, aż po współczesność. Deweloper wyposaży korytarze inwestycji we fragmenty liter powstających na przestrzeni wieków, które doskonale podkreślają charakter prostej, funkcjonalnej i ponadczasowej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nowoczesny kompleks mieszkaniowy o wysokich walorach estetycznych uwypuklających przyszły prestiżowy charakter tej części miasta. Osiedle powstaje w obszarze, który w przyszłości stanie się znaczącym miejscem dla dzielnicy, w granicach Centralnego Pasma Usługowego. Projekt inwestycji był prawdziwym wyzwaniem, gdyż teren jest trudnym, ale przede wszystkim atrakcyjnym lokalizacyjnie obszarem rozwojowym. Jest on położony na styku zróżnicowanych struktur, które zmieniają się w nowoczesną tkankę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Na ośmiu piętrach pojawią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obrazy 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 w historii typografii</w:t>
      </w:r>
      <w:r>
        <w:rPr>
          <w:rFonts w:ascii="calibri" w:hAnsi="calibri" w:eastAsia="calibri" w:cs="calibri"/>
          <w:sz w:val="24"/>
          <w:szCs w:val="24"/>
        </w:rPr>
        <w:t xml:space="preserve">, od renesansu, przez barok, klasycyzm, wiek XIX, aż po współczesność. Kroje czcionek znajdują się w kolekcji Muzeum MOMA. Doskonale zaprojektowane fonty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inwestycji: prostej, funkcjonalnej i ponadczasowej</w:t>
      </w:r>
      <w:r>
        <w:rPr>
          <w:rFonts w:ascii="calibri" w:hAnsi="calibri" w:eastAsia="calibri" w:cs="calibri"/>
          <w:sz w:val="24"/>
          <w:szCs w:val="24"/>
        </w:rPr>
        <w:t xml:space="preserve">. Kompozycje abstrakcyjne, wykorzystujące często tylko fragment litery, pozwalają lepiej przedstawić i dostrzec różnice pomiędzy krojami oraz docenić ich graficzną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Autorami krojów są: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Garamond </w:t>
      </w:r>
      <w:r>
        <w:rPr>
          <w:rFonts w:ascii="calibri" w:hAnsi="calibri" w:eastAsia="calibri" w:cs="calibri"/>
          <w:sz w:val="24"/>
          <w:szCs w:val="24"/>
        </w:rPr>
        <w:t xml:space="preserve">- Claude Garamond (1541),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Baskerville </w:t>
      </w:r>
      <w:r>
        <w:rPr>
          <w:rFonts w:ascii="calibri" w:hAnsi="calibri" w:eastAsia="calibri" w:cs="calibri"/>
          <w:sz w:val="24"/>
          <w:szCs w:val="24"/>
        </w:rPr>
        <w:t xml:space="preserve">- John Baskerville (1757), </w:t>
      </w:r>
      <w:r>
        <w:rPr>
          <w:rFonts w:ascii="calibri" w:hAnsi="calibri" w:eastAsia="calibri" w:cs="calibri"/>
          <w:sz w:val="24"/>
          <w:szCs w:val="24"/>
          <w:b/>
        </w:rPr>
        <w:t xml:space="preserve">Bodoni </w:t>
      </w:r>
      <w:r>
        <w:rPr>
          <w:rFonts w:ascii="calibri" w:hAnsi="calibri" w:eastAsia="calibri" w:cs="calibri"/>
          <w:sz w:val="24"/>
          <w:szCs w:val="24"/>
        </w:rPr>
        <w:t xml:space="preserve">- Giamabattista Bodoni (1770),</w:t>
      </w:r>
      <w:r>
        <w:rPr>
          <w:rFonts w:ascii="calibri" w:hAnsi="calibri" w:eastAsia="calibri" w:cs="calibri"/>
          <w:sz w:val="24"/>
          <w:szCs w:val="24"/>
          <w:b/>
        </w:rPr>
        <w:t xml:space="preserve"> Century </w:t>
      </w:r>
      <w:r>
        <w:rPr>
          <w:rFonts w:ascii="calibri" w:hAnsi="calibri" w:eastAsia="calibri" w:cs="calibri"/>
          <w:sz w:val="24"/>
          <w:szCs w:val="24"/>
        </w:rPr>
        <w:t xml:space="preserve">- Linn Boyd Morris Fuller (1894-1923), </w:t>
      </w:r>
      <w:r>
        <w:rPr>
          <w:rFonts w:ascii="calibri" w:hAnsi="calibri" w:eastAsia="calibri" w:cs="calibri"/>
          <w:sz w:val="24"/>
          <w:szCs w:val="24"/>
          <w:b/>
        </w:rPr>
        <w:t xml:space="preserve">Futura </w:t>
      </w:r>
      <w:r>
        <w:rPr>
          <w:rFonts w:ascii="calibri" w:hAnsi="calibri" w:eastAsia="calibri" w:cs="calibri"/>
          <w:sz w:val="24"/>
          <w:szCs w:val="24"/>
        </w:rPr>
        <w:t xml:space="preserve">- Paul Renner (1927),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Frutiger </w:t>
      </w:r>
      <w:r>
        <w:rPr>
          <w:rFonts w:ascii="calibri" w:hAnsi="calibri" w:eastAsia="calibri" w:cs="calibri"/>
          <w:sz w:val="24"/>
          <w:szCs w:val="24"/>
        </w:rPr>
        <w:t xml:space="preserve">– Adrian Fritiger (1975),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Helvetica </w:t>
      </w:r>
      <w:r>
        <w:rPr>
          <w:rFonts w:ascii="calibri" w:hAnsi="calibri" w:eastAsia="calibri" w:cs="calibri"/>
          <w:sz w:val="24"/>
          <w:szCs w:val="24"/>
        </w:rPr>
        <w:t xml:space="preserve">- Max Miedinger (1957), </w:t>
      </w:r>
      <w:r>
        <w:rPr>
          <w:rFonts w:ascii="calibri" w:hAnsi="calibri" w:eastAsia="calibri" w:cs="calibri"/>
          <w:sz w:val="24"/>
          <w:szCs w:val="24"/>
          <w:b/>
        </w:rPr>
        <w:t xml:space="preserve">Din </w:t>
      </w:r>
      <w:r>
        <w:rPr>
          <w:rFonts w:ascii="calibri" w:hAnsi="calibri" w:eastAsia="calibri" w:cs="calibri"/>
          <w:sz w:val="24"/>
          <w:szCs w:val="24"/>
        </w:rPr>
        <w:t xml:space="preserve">- Albert-Jan Pool (1995-2009).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900 m od Uniwersytetu Gdańskiego, 1,2 km od biznesowego centrum miasta Olivia Business Centre, 5,5 km od morza i 5 minut od stacji SKM. W niedalekiej odległości znajduje się również Kompleks Alchemia, Alfa Centrum i inne popularne obiekty handlowe. Całe osiedle składać się będzie z dwóch budynków, trzy, pięcio i ośmiokondygnacyjnych o nowoczesnej architekturze oraz dużych i nasłonecznionych balkonach i tarasach. 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2026-04-06T07:01:50+02:00</dcterms:created>
  <dcterms:modified xsi:type="dcterms:W3CDTF">2026-04-06T07:01:50+02:00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