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mieszkania w Kwartale Uniwersyteckim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z olbrzymim sukcesem sprzedaje mieszkania na osiedlu Kwartał Uniwersytecki 2 w Gdańsku. W aktualnej ofercie pozostały już tylko dwa mieszkania trzypokojowe. Projekt jest uzupełnieniem ukończonego już osiedla Kwartał Uniwersytecki, inwestycja cieszy się bardzo dużym zainteresowaniem.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powstaje dziewięciokondygnacyjny budynek z dwiema nowoczesnymi windami. Osiedle zlokalizowane jest przy ul. Szczecińskiej w Gdańsku, w bliskiej odległości od</w:t>
      </w:r>
      <w:r>
        <w:rPr>
          <w:rFonts w:ascii="calibri" w:hAnsi="calibri" w:eastAsia="calibri" w:cs="calibri"/>
          <w:sz w:val="24"/>
          <w:szCs w:val="24"/>
          <w:b/>
        </w:rPr>
        <w:t xml:space="preserve"> stacji SKM Gdańsk Przymorze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Uniwersytetu Gdańskiego.</w:t>
      </w:r>
      <w:r>
        <w:rPr>
          <w:rFonts w:ascii="calibri" w:hAnsi="calibri" w:eastAsia="calibri" w:cs="calibri"/>
          <w:sz w:val="24"/>
          <w:szCs w:val="24"/>
        </w:rPr>
        <w:t xml:space="preserve"> W sąsiedztwie znajdują się także popularne </w:t>
      </w:r>
      <w:r>
        <w:rPr>
          <w:rFonts w:ascii="calibri" w:hAnsi="calibri" w:eastAsia="calibri" w:cs="calibri"/>
          <w:sz w:val="24"/>
          <w:szCs w:val="24"/>
          <w:b/>
        </w:rPr>
        <w:t xml:space="preserve">centra handlowe Auchan i ALFA.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atutem projektu będzie mieszcząca się na parterze budynku </w:t>
      </w:r>
      <w:r>
        <w:rPr>
          <w:rFonts w:ascii="calibri" w:hAnsi="calibri" w:eastAsia="calibri" w:cs="calibri"/>
          <w:sz w:val="24"/>
          <w:szCs w:val="24"/>
          <w:b/>
        </w:rPr>
        <w:t xml:space="preserve">sala fitness, mediateka i wózkarnia</w:t>
      </w:r>
      <w:r>
        <w:rPr>
          <w:rFonts w:ascii="calibri" w:hAnsi="calibri" w:eastAsia="calibri" w:cs="calibri"/>
          <w:sz w:val="24"/>
          <w:szCs w:val="24"/>
        </w:rPr>
        <w:t xml:space="preserve">. Wszystkie pomieszczenia będą dostępne dla mieszkańców i mogą posłużyć do zacieśniania sąsiedzkich więzi.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Nowoczesną architekturę budynku uzupełnią </w:t>
      </w:r>
      <w:r>
        <w:rPr>
          <w:rFonts w:ascii="calibri" w:hAnsi="calibri" w:eastAsia="calibri" w:cs="calibri"/>
          <w:sz w:val="24"/>
          <w:szCs w:val="24"/>
          <w:b/>
        </w:rPr>
        <w:t xml:space="preserve">słoneczne balkony i loggie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powstaną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naziemne miejsca postojowe, ogólnodostępny podcień rowerowy oraz podcień rowerowy z ograniczonym dostępem</w:t>
      </w:r>
      <w:r>
        <w:rPr>
          <w:rFonts w:ascii="calibri" w:hAnsi="calibri" w:eastAsia="calibri" w:cs="calibri"/>
          <w:sz w:val="24"/>
          <w:szCs w:val="24"/>
        </w:rPr>
        <w:t xml:space="preserve">. Budynek będzie częściowo ogrodzony i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pozostały 2 ostanie mieszkania. W ramach inwestycji powstanie w sumie </w:t>
      </w:r>
      <w:r>
        <w:rPr>
          <w:rFonts w:ascii="calibri" w:hAnsi="calibri" w:eastAsia="calibri" w:cs="calibri"/>
          <w:sz w:val="24"/>
          <w:szCs w:val="24"/>
          <w:b/>
        </w:rPr>
        <w:t xml:space="preserve">96 mieszkań</w:t>
      </w:r>
      <w:r>
        <w:rPr>
          <w:rFonts w:ascii="calibri" w:hAnsi="calibri" w:eastAsia="calibri" w:cs="calibri"/>
          <w:sz w:val="24"/>
          <w:szCs w:val="24"/>
        </w:rPr>
        <w:t xml:space="preserve"> o powierzchni </w:t>
      </w:r>
      <w:r>
        <w:rPr>
          <w:rFonts w:ascii="calibri" w:hAnsi="calibri" w:eastAsia="calibri" w:cs="calibri"/>
          <w:sz w:val="24"/>
          <w:szCs w:val="24"/>
          <w:b/>
        </w:rPr>
        <w:t xml:space="preserve">od 31 mkw. do 59 mkw</w:t>
      </w:r>
      <w:r>
        <w:rPr>
          <w:rFonts w:ascii="calibri" w:hAnsi="calibri" w:eastAsia="calibri" w:cs="calibri"/>
          <w:sz w:val="24"/>
          <w:szCs w:val="24"/>
        </w:rPr>
        <w:t xml:space="preserve">. Planowany termin ukończenia budowy to </w:t>
      </w:r>
      <w:r>
        <w:rPr>
          <w:rFonts w:ascii="calibri" w:hAnsi="calibri" w:eastAsia="calibri" w:cs="calibri"/>
          <w:sz w:val="24"/>
          <w:szCs w:val="24"/>
          <w:b/>
        </w:rPr>
        <w:t xml:space="preserve">31 sierpnia 2018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inwestycji został opracowany przez pracownię architektoniczną </w:t>
      </w:r>
      <w:r>
        <w:rPr>
          <w:rFonts w:ascii="calibri" w:hAnsi="calibri" w:eastAsia="calibri" w:cs="calibri"/>
          <w:sz w:val="24"/>
          <w:szCs w:val="24"/>
          <w:b/>
        </w:rPr>
        <w:t xml:space="preserve">PROCONCEPT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2026-10-27T16:05:08+01:00</dcterms:created>
  <dcterms:modified xsi:type="dcterms:W3CDTF">2026-10-27T16:05:08+01:00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