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kontynuuje wysoką sprzedaż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deweloperów, podsumowała wyniki sprzedaży za trzy kwartały 2018 roku. W tym okresie Grupa zakontraktowała 638 mieszkań, co stanowi wzrost o 31% w porównaniu do analogicznego okresu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nas cieszy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ysoki poziom przedsprzedaży osiągnięty po trzech kwartałach bieżącego Nasza oferta mieszkań oraz domów jest zróżnicowana i cieszy się dużym zainteresowaniem wśród klientów. Jednocześnie cyklicznie wprowadzamy nowe inwestycje do sprzedaży</w:t>
      </w:r>
      <w:r>
        <w:rPr>
          <w:rFonts w:ascii="calibri" w:hAnsi="calibri" w:eastAsia="calibri" w:cs="calibri"/>
          <w:sz w:val="24"/>
          <w:szCs w:val="24"/>
        </w:rPr>
        <w:t xml:space="preserve">” – powiedział Piotr Stefaniak, Prezes Zarządu INPRO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trzecim kwartale 2018 roku Grupa zrealizowała przedsprzedaż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193 umów oraz przekazała łącznie 88 lokali. </w:t>
      </w:r>
      <w:r>
        <w:rPr>
          <w:rFonts w:ascii="calibri" w:hAnsi="calibri" w:eastAsia="calibri" w:cs="calibri"/>
          <w:sz w:val="24"/>
          <w:szCs w:val="24"/>
        </w:rPr>
        <w:t xml:space="preserve">Narastająco po dziewięciu miesiącach 2018 roku sprzedano </w:t>
      </w:r>
      <w:r>
        <w:rPr>
          <w:rFonts w:ascii="calibri" w:hAnsi="calibri" w:eastAsia="calibri" w:cs="calibri"/>
          <w:sz w:val="24"/>
          <w:szCs w:val="24"/>
          <w:b/>
        </w:rPr>
        <w:t xml:space="preserve">638 mieszkań, czyli aż o 31% więcej </w:t>
      </w:r>
      <w:r>
        <w:rPr>
          <w:rFonts w:ascii="calibri" w:hAnsi="calibri" w:eastAsia="calibri" w:cs="calibri"/>
          <w:sz w:val="24"/>
          <w:szCs w:val="24"/>
        </w:rPr>
        <w:t xml:space="preserve">niż w okresie styczeń – wrzesień 2017. Jednocześnie, w tym okresie Grupa przekazała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365 gotowych lokali</w:t>
      </w:r>
      <w:r>
        <w:rPr>
          <w:rFonts w:ascii="calibri" w:hAnsi="calibri" w:eastAsia="calibri" w:cs="calibri"/>
          <w:sz w:val="24"/>
          <w:szCs w:val="24"/>
        </w:rPr>
        <w:t xml:space="preserve">,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191 sztuk</w:t>
      </w:r>
      <w:r>
        <w:rPr>
          <w:rFonts w:ascii="calibri" w:hAnsi="calibri" w:eastAsia="calibri" w:cs="calibri"/>
          <w:sz w:val="24"/>
          <w:szCs w:val="24"/>
        </w:rPr>
        <w:t xml:space="preserve"> w analogicznym okresie roku ubiegłego, co stanowi wzrost o 91%.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aktualnej ofercie Grupa INPRO posiada </w:t>
      </w:r>
      <w:r>
        <w:rPr>
          <w:rFonts w:ascii="calibri" w:hAnsi="calibri" w:eastAsia="calibri" w:cs="calibri"/>
          <w:sz w:val="24"/>
          <w:szCs w:val="24"/>
          <w:b/>
        </w:rPr>
        <w:t xml:space="preserve">750 mieszkań i domów</w:t>
      </w:r>
      <w:r>
        <w:rPr>
          <w:rFonts w:ascii="calibri" w:hAnsi="calibri" w:eastAsia="calibri" w:cs="calibri"/>
          <w:sz w:val="24"/>
          <w:szCs w:val="24"/>
        </w:rPr>
        <w:t xml:space="preserve">. W bieżącym roku Grupa planuje wprowadzić do sprzedaży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831 nowych mieszkań i domów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166368d419da75e086f3ae203e998963&amp;id=74814&amp;typ=epr" TargetMode="External"/><Relationship Id="rId8" Type="http://schemas.openxmlformats.org/officeDocument/2006/relationships/hyperlink" Target="http://inprosa.biuroprasowe.pl/word/?hash=166368d419da75e086f3ae203e998963&amp;id=74814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2026-03-10T07:13:07+01:00</dcterms:created>
  <dcterms:modified xsi:type="dcterms:W3CDTF">2026-03-10T07:13:07+01:00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