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Azymut pnie się w górę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prace związane z budową jednej z najnowszych inwestycji INPRO w Gdyni – osiedla Azymut. Projekt realizowany jest zgodnie z harmonogramem, planowany termin zakończenia budowy to czerwiec 2019 roku. W aktualnej ofercie pozostało 175 mieszkań o zróżnicowanej powierzchni.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Azymut zlokalizowane jest przy ulicy Wielkopolskiej w Gdyni, w dzielnicy Mały Kack. Niewątpliwie jednym z największych atutów inwestycji jest przepiękny </w:t>
      </w:r>
      <w:r>
        <w:rPr>
          <w:rFonts w:ascii="calibri" w:hAnsi="calibri" w:eastAsia="calibri" w:cs="calibri"/>
          <w:sz w:val="24"/>
          <w:szCs w:val="24"/>
          <w:b/>
        </w:rPr>
        <w:t xml:space="preserve">widok na pobliskie lasy i Zatokę Gdańską,</w:t>
      </w:r>
      <w:r>
        <w:rPr>
          <w:rFonts w:ascii="calibri" w:hAnsi="calibri" w:eastAsia="calibri" w:cs="calibri"/>
          <w:sz w:val="24"/>
          <w:szCs w:val="24"/>
        </w:rPr>
        <w:t xml:space="preserve"> którym będą mogli cieszyć się przyszli mieszkańcy. Zaledwie 3,5 km od osiedla mieści się słynne orłowskie molo oraz wjazd na trójmiejską obwodnicę.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jest świetnie skomunikowana. W najbliższej okolicy osiedla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nowa stacja Pomorskiej Kolei Metropolitarnej – Karwiny. </w:t>
      </w:r>
      <w:r>
        <w:rPr>
          <w:rFonts w:ascii="calibri" w:hAnsi="calibri" w:eastAsia="calibri" w:cs="calibri"/>
          <w:sz w:val="24"/>
          <w:szCs w:val="24"/>
        </w:rPr>
        <w:t xml:space="preserve">Nowy przystanek ułatwi mieszkańcom dojazd do centrum Gdyni, lotniska Rębiechowo i Gdańska Wrzeszcza.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osiedla zakłada powstanie 7 budynków trzy-, cztero- i pięciokondygnacyjnych wyposażonych w windy. Oryginalny design zostanie podkreślony </w:t>
      </w:r>
      <w:r>
        <w:rPr>
          <w:rFonts w:ascii="calibri" w:hAnsi="calibri" w:eastAsia="calibri" w:cs="calibri"/>
          <w:sz w:val="24"/>
          <w:szCs w:val="24"/>
          <w:b/>
        </w:rPr>
        <w:t xml:space="preserve">efektownymi ścianami oporowymi z kamienia tzw. gabionami.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Teren inwestycji będzie </w:t>
      </w:r>
      <w:r>
        <w:rPr>
          <w:rFonts w:ascii="calibri" w:hAnsi="calibri" w:eastAsia="calibri" w:cs="calibri"/>
          <w:sz w:val="24"/>
          <w:szCs w:val="24"/>
          <w:b/>
        </w:rPr>
        <w:t xml:space="preserve">częściowo ogrodzony i dozorowany z pomieszczenia ochrony</w:t>
      </w:r>
      <w:r>
        <w:rPr>
          <w:rFonts w:ascii="calibri" w:hAnsi="calibri" w:eastAsia="calibri" w:cs="calibri"/>
          <w:sz w:val="24"/>
          <w:szCs w:val="24"/>
        </w:rPr>
        <w:t xml:space="preserve">. Pod budynkami zaprojektowano nowoczesną </w:t>
      </w:r>
      <w:r>
        <w:rPr>
          <w:rFonts w:ascii="calibri" w:hAnsi="calibri" w:eastAsia="calibri" w:cs="calibri"/>
          <w:sz w:val="24"/>
          <w:szCs w:val="24"/>
          <w:b/>
        </w:rPr>
        <w:t xml:space="preserve">halę garażową oraz piwnice</w:t>
      </w:r>
      <w:r>
        <w:rPr>
          <w:rFonts w:ascii="calibri" w:hAnsi="calibri" w:eastAsia="calibri" w:cs="calibri"/>
          <w:sz w:val="24"/>
          <w:szCs w:val="24"/>
        </w:rPr>
        <w:t xml:space="preserve">. Powstanie także </w:t>
      </w:r>
      <w:r>
        <w:rPr>
          <w:rFonts w:ascii="calibri" w:hAnsi="calibri" w:eastAsia="calibri" w:cs="calibri"/>
          <w:sz w:val="24"/>
          <w:szCs w:val="24"/>
          <w:b/>
        </w:rPr>
        <w:t xml:space="preserve">rowerownia, wózkarnia, ogólnodostępne miejsca postojowe i plac zabaw dla najmłodszych, wzbogacony o zewnętrzne urządzenia do ćwiczeń.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Planowany termin zakończenia budowy to </w:t>
      </w:r>
      <w:r>
        <w:rPr>
          <w:rFonts w:ascii="calibri" w:hAnsi="calibri" w:eastAsia="calibri" w:cs="calibri"/>
          <w:sz w:val="24"/>
          <w:szCs w:val="24"/>
          <w:b/>
        </w:rPr>
        <w:t xml:space="preserve">czerwiec 2019 roku</w:t>
      </w:r>
      <w:r>
        <w:rPr>
          <w:rFonts w:ascii="calibri" w:hAnsi="calibri" w:eastAsia="calibri" w:cs="calibri"/>
          <w:sz w:val="24"/>
          <w:szCs w:val="24"/>
        </w:rPr>
        <w:t xml:space="preserve">. W aktualnej ofercie znajdują się 175 mieszkań o powierzchni od 35 mkw do 96 mkw. Ceny brutto lokali rozpoczynają się od </w:t>
      </w:r>
      <w:r>
        <w:rPr>
          <w:rFonts w:ascii="calibri" w:hAnsi="calibri" w:eastAsia="calibri" w:cs="calibri"/>
          <w:sz w:val="24"/>
          <w:szCs w:val="24"/>
          <w:b/>
        </w:rPr>
        <w:t xml:space="preserve">7020 zł za mkw.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2024-04-26T10:29:11+02:00</dcterms:created>
  <dcterms:modified xsi:type="dcterms:W3CDTF">2024-04-26T10:29:11+02:00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