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Chmielna Park etap C z pozwoleniem na użytkowanie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Trójmiejski deweloper INPRO SA otrzymał pozwolenie na użytkowanie budynku C należącego do osiedla Chmielna Park na Wyspie Spichrzów. W ramach tej fazy inwestycji do klientów trafi 130 lokali. Całe osiedle składa się z trzech budynków obejmujących 306 lokali spośród których sprzedano już blisko 90%.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nowoczesne osiedle zlokalizowane w sąsiedztwie zabytkowej starówki na Wyspie Spichrzów. Ta prestiżowa inwestycja złożona jest z </w:t>
      </w:r>
      <w:r>
        <w:rPr>
          <w:rFonts w:ascii="calibri" w:hAnsi="calibri" w:eastAsia="calibri" w:cs="calibri"/>
          <w:sz w:val="24"/>
          <w:szCs w:val="24"/>
          <w:b/>
        </w:rPr>
        <w:t xml:space="preserve">trzech budynków</w:t>
      </w:r>
      <w:r>
        <w:rPr>
          <w:rFonts w:ascii="calibri" w:hAnsi="calibri" w:eastAsia="calibri" w:cs="calibri"/>
          <w:sz w:val="24"/>
          <w:szCs w:val="24"/>
        </w:rPr>
        <w:t xml:space="preserve">, z górującą nad osiedlem </w:t>
      </w:r>
      <w:r>
        <w:rPr>
          <w:rFonts w:ascii="calibri" w:hAnsi="calibri" w:eastAsia="calibri" w:cs="calibri"/>
          <w:sz w:val="24"/>
          <w:szCs w:val="24"/>
          <w:b/>
        </w:rPr>
        <w:t xml:space="preserve">9-kondygnacyjną wieżą</w:t>
      </w:r>
      <w:r>
        <w:rPr>
          <w:rFonts w:ascii="calibri" w:hAnsi="calibri" w:eastAsia="calibri" w:cs="calibri"/>
          <w:sz w:val="24"/>
          <w:szCs w:val="24"/>
        </w:rPr>
        <w:t xml:space="preserve"> oraz reprezentacyjnym </w:t>
      </w:r>
      <w:r>
        <w:rPr>
          <w:rFonts w:ascii="calibri" w:hAnsi="calibri" w:eastAsia="calibri" w:cs="calibri"/>
          <w:sz w:val="24"/>
          <w:szCs w:val="24"/>
          <w:b/>
        </w:rPr>
        <w:t xml:space="preserve">placem. </w:t>
      </w:r>
      <w:r>
        <w:rPr>
          <w:rFonts w:ascii="calibri" w:hAnsi="calibri" w:eastAsia="calibri" w:cs="calibri"/>
          <w:sz w:val="24"/>
          <w:szCs w:val="24"/>
        </w:rPr>
        <w:t xml:space="preserve">Projekt inwestycji powstał w pracowni DOMUS Studio Projektowe S.C. Sieniawski &amp; Sieniawski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Dodatkowym atutem jest położenie osiedla nad rzeką wzdłuż zielonego brzegu Motławy.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etapu C powstało w sumie 130 lokali. Jest to trzeci i zarazem ostatni etap osiedla Chmielna Park. Deweloper rozpoczyna przekazywanie wszystkich sprzedanych lokali. W całej inwestycji inwestor sprzedał już blisko 90% lokali. Do dyspozycji klientów </w:t>
      </w:r>
      <w:r>
        <w:rPr>
          <w:rFonts w:ascii="calibri" w:hAnsi="calibri" w:eastAsia="calibri" w:cs="calibri"/>
          <w:sz w:val="24"/>
          <w:szCs w:val="24"/>
          <w:b/>
        </w:rPr>
        <w:t xml:space="preserve">pozostało 20 mieszkań, 3 lokale usługowe oraz 11 biur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na Wyspie Spichrzów jest idealną odpowiedzią na potrzeby klientów, którzy stawiają na </w:t>
      </w:r>
      <w:r>
        <w:rPr>
          <w:rFonts w:ascii="calibri" w:hAnsi="calibri" w:eastAsia="calibri" w:cs="calibri"/>
          <w:sz w:val="24"/>
          <w:szCs w:val="24"/>
          <w:b/>
        </w:rPr>
        <w:t xml:space="preserve">komfort i jakość życia</w:t>
      </w:r>
      <w:r>
        <w:rPr>
          <w:rFonts w:ascii="calibri" w:hAnsi="calibri" w:eastAsia="calibri" w:cs="calibri"/>
          <w:sz w:val="24"/>
          <w:szCs w:val="24"/>
        </w:rPr>
        <w:t xml:space="preserve">. Osiedle zostało zrealizowane przy użyciu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najwyższej jakości materiałów</w:t>
      </w:r>
      <w:r>
        <w:rPr>
          <w:rFonts w:ascii="calibri" w:hAnsi="calibri" w:eastAsia="calibri" w:cs="calibri"/>
          <w:sz w:val="24"/>
          <w:szCs w:val="24"/>
        </w:rPr>
        <w:t xml:space="preserve"> i charakteryzuje się </w:t>
      </w:r>
      <w:r>
        <w:rPr>
          <w:rFonts w:ascii="calibri" w:hAnsi="calibri" w:eastAsia="calibri" w:cs="calibri"/>
          <w:sz w:val="24"/>
          <w:szCs w:val="24"/>
          <w:b/>
        </w:rPr>
        <w:t xml:space="preserve">podwyższonym standardem</w:t>
      </w:r>
      <w:r>
        <w:rPr>
          <w:rFonts w:ascii="calibri" w:hAnsi="calibri" w:eastAsia="calibri" w:cs="calibri"/>
          <w:sz w:val="24"/>
          <w:szCs w:val="24"/>
        </w:rPr>
        <w:t xml:space="preserve"> oraz nowoczesną architekturą. </w:t>
      </w:r>
    </w:p>
    <w:p>
      <w:r>
        <w:rPr>
          <w:rFonts w:ascii="calibri" w:hAnsi="calibri" w:eastAsia="calibri" w:cs="calibri"/>
          <w:sz w:val="24"/>
          <w:szCs w:val="24"/>
        </w:rPr>
        <w:t xml:space="preserve"> W ramach inwestycji INPRO przygotowało także ofertę </w:t>
      </w:r>
      <w:r>
        <w:rPr>
          <w:rFonts w:ascii="calibri" w:hAnsi="calibri" w:eastAsia="calibri" w:cs="calibri"/>
          <w:sz w:val="24"/>
          <w:szCs w:val="24"/>
          <w:b/>
        </w:rPr>
        <w:t xml:space="preserve">WYKOŃCZENIA POD KLUCZ</w:t>
      </w:r>
      <w:r>
        <w:rPr>
          <w:rFonts w:ascii="calibri" w:hAnsi="calibri" w:eastAsia="calibri" w:cs="calibri"/>
          <w:sz w:val="24"/>
          <w:szCs w:val="24"/>
        </w:rPr>
        <w:t xml:space="preserve">, w której oferuje trzy zróżnicowane pakiety, w zależności od potrzeb i wymagań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maksymalnie wykorzystano walory widokowe mieszkań dzięki </w:t>
      </w:r>
      <w:r>
        <w:rPr>
          <w:rFonts w:ascii="calibri" w:hAnsi="calibri" w:eastAsia="calibri" w:cs="calibri"/>
          <w:sz w:val="24"/>
          <w:szCs w:val="24"/>
          <w:b/>
        </w:rPr>
        <w:t xml:space="preserve">dużym oknom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zabudowie tarasowej</w:t>
      </w:r>
      <w:r>
        <w:rPr>
          <w:rFonts w:ascii="calibri" w:hAnsi="calibri" w:eastAsia="calibri" w:cs="calibri"/>
          <w:sz w:val="24"/>
          <w:szCs w:val="24"/>
        </w:rPr>
        <w:t xml:space="preserve">. Do dyspozycji mieszkańców oddano także hale garażowe, piwnice, pomieszczenia do przechowywania wózków i rowerów oraz plac zabaw.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przygotowano także ofertę dla osób, którym zależy na ulokowaniu swoich oszczędności w nieruchomościach. Opcja </w:t>
      </w:r>
      <w:r>
        <w:rPr>
          <w:rFonts w:ascii="calibri" w:hAnsi="calibri" w:eastAsia="calibri" w:cs="calibri"/>
          <w:sz w:val="24"/>
          <w:szCs w:val="24"/>
          <w:b/>
        </w:rPr>
        <w:t xml:space="preserve">KUP I ZARABIAJ</w:t>
      </w:r>
      <w:r>
        <w:rPr>
          <w:rFonts w:ascii="calibri" w:hAnsi="calibri" w:eastAsia="calibri" w:cs="calibri"/>
          <w:sz w:val="24"/>
          <w:szCs w:val="24"/>
        </w:rPr>
        <w:t xml:space="preserve"> zapewnia kompleksową obsługę apartamentu i wynajęcie go za pośrednictwem firmy specjalizującej się w zarządzaniu luksusowymi nieruchomościami.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mieszkań znajdujących się w aktualnej ofercie rozpoczynają się od </w:t>
      </w:r>
      <w:r>
        <w:rPr>
          <w:rFonts w:ascii="calibri" w:hAnsi="calibri" w:eastAsia="calibri" w:cs="calibri"/>
          <w:sz w:val="24"/>
          <w:szCs w:val="24"/>
          <w:b/>
        </w:rPr>
        <w:t xml:space="preserve">6696 zł brutto za mkw</w:t>
      </w:r>
      <w:r>
        <w:rPr>
          <w:rFonts w:ascii="calibri" w:hAnsi="calibri" w:eastAsia="calibri" w:cs="calibri"/>
          <w:sz w:val="24"/>
          <w:szCs w:val="24"/>
        </w:rPr>
        <w:t xml:space="preserve">., lokali usługowych od </w:t>
      </w:r>
      <w:r>
        <w:rPr>
          <w:rFonts w:ascii="calibri" w:hAnsi="calibri" w:eastAsia="calibri" w:cs="calibri"/>
          <w:sz w:val="24"/>
          <w:szCs w:val="24"/>
          <w:b/>
        </w:rPr>
        <w:t xml:space="preserve">8487 zł brutto za mkw</w:t>
      </w:r>
      <w:r>
        <w:rPr>
          <w:rFonts w:ascii="calibri" w:hAnsi="calibri" w:eastAsia="calibri" w:cs="calibri"/>
          <w:sz w:val="24"/>
          <w:szCs w:val="24"/>
        </w:rPr>
        <w:t xml:space="preserve">., a biur od </w:t>
      </w:r>
      <w:r>
        <w:rPr>
          <w:rFonts w:ascii="calibri" w:hAnsi="calibri" w:eastAsia="calibri" w:cs="calibri"/>
          <w:sz w:val="24"/>
          <w:szCs w:val="24"/>
          <w:b/>
        </w:rPr>
        <w:t xml:space="preserve">7380 zł brutto za mkw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2024-04-25T04:24:50+02:00</dcterms:created>
  <dcterms:modified xsi:type="dcterms:W3CDTF">2024-04-25T04:24:50+02:00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