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Obrazy topowych czcionek z kolekcji Muzeum MOMA we wnętrzach Kwartału Uniwersyteckiego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wzbogaci wnętrza jednej ze swoich inwestycji, obrazami najbardziej topowych czcionek w historii typografii. W Kwartale Uniwersyteckim na ścianach części wspólnych pojawi się 8 krojów czcionek, poczynając od renesansu, aż po współczesność. Deweloper wyposaży korytarze inwestycji we fragmenty liter powstających na przestrzeni wieków, które doskonale podkreślają charakter prostej, funkcjonalnej i ponadczasowej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Kwartał Uniwersytecki to nowoczesny kompleks mieszkaniowy o wysokich walorach estetycznych uwypuklających przyszły prestiżowy charakter tej części miasta. Osiedle powstaje w obszarze, który w przyszłości stanie się znaczącym miejscem dla dzielnicy, w granicach Centralnego Pasma Usługowego. Projekt inwestycji był prawdziwym wyzwaniem, gdyż teren jest trudnym, ale przede wszystkim atrakcyjnym lokalizacyjnie obszarem rozwojowym. Jest on położony na styku zróżnicowanych struktur, które zmieniają się w nowoczesną tkankę miejską.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zadbał o każdy szczegół inwestycji, również o wygląd części wspólnych. Na ośmiu piętrach pojawią się </w:t>
      </w:r>
      <w:r>
        <w:rPr>
          <w:rFonts w:ascii="calibri" w:hAnsi="calibri" w:eastAsia="calibri" w:cs="calibri"/>
          <w:sz w:val="24"/>
          <w:szCs w:val="24"/>
          <w:b/>
        </w:rPr>
        <w:t xml:space="preserve">obrazy ośmiu krojów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rozpoznawalnych czcionek w historii typografii</w:t>
      </w:r>
      <w:r>
        <w:rPr>
          <w:rFonts w:ascii="calibri" w:hAnsi="calibri" w:eastAsia="calibri" w:cs="calibri"/>
          <w:sz w:val="24"/>
          <w:szCs w:val="24"/>
        </w:rPr>
        <w:t xml:space="preserve">, od renesansu, przez barok, klasycyzm, wiek XIX, aż po współczesność. Kroje czcionek znajdują się w kolekcji Muzeum MOMA. Doskonale zaprojektowane fonty podkreślają </w:t>
      </w:r>
      <w:r>
        <w:rPr>
          <w:rFonts w:ascii="calibri" w:hAnsi="calibri" w:eastAsia="calibri" w:cs="calibri"/>
          <w:sz w:val="24"/>
          <w:szCs w:val="24"/>
          <w:b/>
        </w:rPr>
        <w:t xml:space="preserve">charakter inwestycji: prostej, funkcjonalnej i ponadczasowej</w:t>
      </w:r>
      <w:r>
        <w:rPr>
          <w:rFonts w:ascii="calibri" w:hAnsi="calibri" w:eastAsia="calibri" w:cs="calibri"/>
          <w:sz w:val="24"/>
          <w:szCs w:val="24"/>
        </w:rPr>
        <w:t xml:space="preserve">. Kompozycje abstrakcyjne, wykorzystujące często tylko fragment litery, pozwalają lepiej przedstawić i dostrzec różnice pomiędzy krojami oraz docenić ich graficzną urodę.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Autorami krojów są: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Garamond </w:t>
      </w:r>
      <w:r>
        <w:rPr>
          <w:rFonts w:ascii="calibri" w:hAnsi="calibri" w:eastAsia="calibri" w:cs="calibri"/>
          <w:sz w:val="24"/>
          <w:szCs w:val="24"/>
        </w:rPr>
        <w:t xml:space="preserve">- Claude Garamond (1541),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Baskerville </w:t>
      </w:r>
      <w:r>
        <w:rPr>
          <w:rFonts w:ascii="calibri" w:hAnsi="calibri" w:eastAsia="calibri" w:cs="calibri"/>
          <w:sz w:val="24"/>
          <w:szCs w:val="24"/>
        </w:rPr>
        <w:t xml:space="preserve">- John Baskerville (1757), </w:t>
      </w:r>
      <w:r>
        <w:rPr>
          <w:rFonts w:ascii="calibri" w:hAnsi="calibri" w:eastAsia="calibri" w:cs="calibri"/>
          <w:sz w:val="24"/>
          <w:szCs w:val="24"/>
          <w:b/>
        </w:rPr>
        <w:t xml:space="preserve">Bodoni </w:t>
      </w:r>
      <w:r>
        <w:rPr>
          <w:rFonts w:ascii="calibri" w:hAnsi="calibri" w:eastAsia="calibri" w:cs="calibri"/>
          <w:sz w:val="24"/>
          <w:szCs w:val="24"/>
        </w:rPr>
        <w:t xml:space="preserve">- Giamabattista Bodoni (1770),</w:t>
      </w:r>
      <w:r>
        <w:rPr>
          <w:rFonts w:ascii="calibri" w:hAnsi="calibri" w:eastAsia="calibri" w:cs="calibri"/>
          <w:sz w:val="24"/>
          <w:szCs w:val="24"/>
          <w:b/>
        </w:rPr>
        <w:t xml:space="preserve"> Century </w:t>
      </w:r>
      <w:r>
        <w:rPr>
          <w:rFonts w:ascii="calibri" w:hAnsi="calibri" w:eastAsia="calibri" w:cs="calibri"/>
          <w:sz w:val="24"/>
          <w:szCs w:val="24"/>
        </w:rPr>
        <w:t xml:space="preserve">- Linn Boyd Morris Fuller (1894-1923), </w:t>
      </w:r>
      <w:r>
        <w:rPr>
          <w:rFonts w:ascii="calibri" w:hAnsi="calibri" w:eastAsia="calibri" w:cs="calibri"/>
          <w:sz w:val="24"/>
          <w:szCs w:val="24"/>
          <w:b/>
        </w:rPr>
        <w:t xml:space="preserve">Futura </w:t>
      </w:r>
      <w:r>
        <w:rPr>
          <w:rFonts w:ascii="calibri" w:hAnsi="calibri" w:eastAsia="calibri" w:cs="calibri"/>
          <w:sz w:val="24"/>
          <w:szCs w:val="24"/>
        </w:rPr>
        <w:t xml:space="preserve">- Paul Renner (1927),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Frutiger </w:t>
      </w:r>
      <w:r>
        <w:rPr>
          <w:rFonts w:ascii="calibri" w:hAnsi="calibri" w:eastAsia="calibri" w:cs="calibri"/>
          <w:sz w:val="24"/>
          <w:szCs w:val="24"/>
        </w:rPr>
        <w:t xml:space="preserve">– Adrian Fritiger (1975),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Helvetica </w:t>
      </w:r>
      <w:r>
        <w:rPr>
          <w:rFonts w:ascii="calibri" w:hAnsi="calibri" w:eastAsia="calibri" w:cs="calibri"/>
          <w:sz w:val="24"/>
          <w:szCs w:val="24"/>
        </w:rPr>
        <w:t xml:space="preserve">- Max Miedinger (1957), </w:t>
      </w:r>
      <w:r>
        <w:rPr>
          <w:rFonts w:ascii="calibri" w:hAnsi="calibri" w:eastAsia="calibri" w:cs="calibri"/>
          <w:sz w:val="24"/>
          <w:szCs w:val="24"/>
          <w:b/>
        </w:rPr>
        <w:t xml:space="preserve">Din </w:t>
      </w:r>
      <w:r>
        <w:rPr>
          <w:rFonts w:ascii="calibri" w:hAnsi="calibri" w:eastAsia="calibri" w:cs="calibri"/>
          <w:sz w:val="24"/>
          <w:szCs w:val="24"/>
        </w:rPr>
        <w:t xml:space="preserve">- Albert-Jan Pool (1995-2009).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Kwartał Uniwersytecki powstaje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w jednej z najlepiej skomunikowanych dzielnic miasta</w:t>
      </w:r>
      <w:r>
        <w:rPr>
          <w:rFonts w:ascii="calibri" w:hAnsi="calibri" w:eastAsia="calibri" w:cs="calibri"/>
          <w:sz w:val="24"/>
          <w:szCs w:val="24"/>
        </w:rPr>
        <w:t xml:space="preserve">, jaką jest Gdańsk Przymorze, ale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 okolicy o niskiej zabudowie, zielonych terenach i domach jednorodzinnych</w:t>
      </w:r>
      <w:r>
        <w:rPr>
          <w:rFonts w:ascii="calibri" w:hAnsi="calibri" w:eastAsia="calibri" w:cs="calibri"/>
          <w:sz w:val="24"/>
          <w:szCs w:val="24"/>
        </w:rPr>
        <w:t xml:space="preserve">. To idealne miejsce dla osób ceniących jednocześnie życie w mieście oraz spokój i ciszę. Inwestycja przy ul. Szczecińskiej zlokalizowana jest 900 m od Uniwersytetu Gdańskiego, 1,2 km od biznesowego centrum miasta Olivia Business Centre, 5,5 km od morza i 5 minut od stacji SKM. W niedalekiej odległości znajduje się również Kompleks Alchemia, Alfa Centrum i inne popularne obiekty handlowe. Całe osiedle składać się będzie z dwóch budynków, trzy, pięcio i ośmiokondygnacyjnych o nowoczesnej architekturze oraz dużych i nasłonecznionych balkonach i tarasach. Klienci decydujący się na zakup mieszkania w ramach kwartału Uniwersyteckiego, mogą również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oferty 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deweloper proponuje trzy zróżnicowane pakiety. Dzięki szerokiemu wachlarzowi usług, opcja wykończenia mieszkania dopasowywana jest indywidualnie do potrzeb każdego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2024-04-18T14:15:53+02:00</dcterms:created>
  <dcterms:modified xsi:type="dcterms:W3CDTF">2024-04-18T14:15:53+02:00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